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0C060" w:sz="4"/>
              <w:left w:val="single" w:color="E0C060" w:sz="4"/>
              <w:bottom w:val="single" w:color="E0C060" w:sz="4"/>
              <w:right w:val="single" w:color="E0C060" w:sz="4"/>
            </w:tcBorders>
            <w:shd w:fill="FFF4D6" w:color="auto" w:val="clear"/>
            <w:tcMar>
              <w:top w:type="dxa" w:w="70"/>
              <w:left w:type="dxa" w:w="110"/>
              <w:bottom w:type="dxa" w:w="70"/>
              <w:right w:type="dxa" w:w="110"/>
            </w:tcMar>
          </w:tcPr>
          <w:p>
            <w:pPr>
              <w:spacing w:after="0" w:before="0" w:line="264"/>
            </w:pPr>
            <w:r>
              <w:rPr>
                <w:rFonts w:ascii="Calibri" w:cs="Calibri" w:eastAsia="Calibri" w:hAnsi="Calibri"/>
                <w:b/>
                <w:bCs/>
              </w:rPr>
              <w:t xml:space="preserve">EXAMPLE ONLY.</w:t>
            </w:r>
            <w:r>
              <w:rPr>
                <w:rFonts w:ascii="Calibri" w:cs="Calibri" w:eastAsia="Calibri" w:hAnsi="Calibri"/>
              </w:rPr>
              <w:t xml:space="preserve"> This shows what a finished submission can look like. Jane Citizen is not a real person. Use your own details and your own words.</w:t>
            </w:r>
          </w:p>
        </w:tc>
      </w:tr>
    </w:tbl>
    <w:p>
      <w:pPr>
        <w:spacing w:after="80"/>
      </w:pPr>
    </w:p>
    <w:p>
      <w:pPr>
        <w:spacing w:after="60" w:before="0" w:line="264"/>
      </w:pPr>
      <w:r>
        <w:rPr>
          <w:rFonts w:ascii="Calibri" w:cs="Calibri" w:eastAsia="Calibri" w:hAnsi="Calibri"/>
          <w:b/>
          <w:bCs/>
          <w:color w:val="1F4E5F"/>
          <w:sz w:val="40"/>
          <w:szCs w:val="40"/>
        </w:rPr>
        <w:t xml:space="preserve">Submission to the Coordinator-General</w:t>
      </w:r>
    </w:p>
    <w:p>
      <w:pPr>
        <w:spacing w:after="140" w:before="0" w:line="264"/>
      </w:pPr>
      <w:r>
        <w:rPr>
          <w:rFonts w:ascii="Calibri" w:cs="Calibri" w:eastAsia="Calibri" w:hAnsi="Calibri"/>
          <w:color w:val="1F4E9E"/>
        </w:rPr>
        <w:t xml:space="preserve">The blue writing shows what Jane filled in.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7706"/>
      </w:tblGrid>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Send to</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b/>
                <w:bCs/>
              </w:rPr>
              <w:t xml:space="preserve">Email:</w:t>
            </w:r>
            <w:r>
              <w:rPr>
                <w:rFonts w:ascii="Calibri" w:cs="Calibri" w:eastAsia="Calibri" w:hAnsi="Calibri"/>
              </w:rPr>
              <w:t xml:space="preserve"> sdainfo@coordinatorgeneral.qld.gov.au</w:t>
            </w:r>
          </w:p>
          <w:p>
            <w:pPr>
              <w:spacing w:after="60" w:before="0" w:line="264"/>
            </w:pPr>
            <w:r>
              <w:rPr>
                <w:rFonts w:ascii="Calibri" w:cs="Calibri" w:eastAsia="Calibri" w:hAnsi="Calibri"/>
                <w:b/>
                <w:bCs/>
              </w:rPr>
              <w:t xml:space="preserve">Post:</w:t>
            </w:r>
            <w:r>
              <w:rPr>
                <w:rFonts w:ascii="Calibri" w:cs="Calibri" w:eastAsia="Calibri" w:hAnsi="Calibri"/>
              </w:rPr>
              <w:t xml:space="preserve"> The Coordinator-General, c/- State development areas, PO Box 15517, City East Qld 4002</w:t>
            </w:r>
          </w:p>
        </w:tc>
      </w:tr>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Name of project</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rPr>
              <w:t xml:space="preserve">Bromelton Energy and Resource Centre (BERC), Cleanaway Operations Pty Ltd, SDA application AP2026/001</w:t>
            </w:r>
          </w:p>
          <w:p>
            <w:pPr>
              <w:spacing w:after="40"/>
            </w:pPr>
            <w:r>
              <w:rPr>
                <w:rFonts w:ascii="Calibri" w:cs="Calibri" w:eastAsia="Calibri" w:hAnsi="Calibri"/>
                <w:i/>
                <w:iCs/>
                <w:color w:val="555555"/>
                <w:sz w:val="20"/>
                <w:szCs w:val="20"/>
              </w:rPr>
              <w:t xml:space="preserve">Check this matches the public notice exactly.</w:t>
            </w:r>
          </w:p>
        </w:tc>
      </w:tr>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Closing date</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rPr>
              <w:t xml:space="preserve">16 November 2026. Send it a few days early, and check the date in the public notice.</w:t>
            </w:r>
          </w:p>
        </w:tc>
      </w:tr>
    </w:tbl>
    <w:p>
      <w:pPr>
        <w:spacing w:after="100"/>
      </w:pPr>
    </w:p>
    <w:p>
      <w:pPr>
        <w:pStyle w:val="Heading2"/>
        <w:keepNext/>
        <w:spacing w:after="100" w:before="260"/>
      </w:pPr>
      <w:r>
        <w:rPr>
          <w:rFonts w:ascii="Calibri" w:cs="Calibri" w:eastAsia="Calibri" w:hAnsi="Calibri"/>
        </w:rPr>
        <w:t xml:space="preserve">Your details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Full name</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Jane Citizen</w:t>
            </w: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Street address</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12 Example Street</w:t>
            </w: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Town or suburb, and postcode</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Beaudesert QLD 4285</w:t>
            </w: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Email</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jane.citizen@example.com</w:t>
            </w: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Phone (optional)</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Organisation (only if you are writing for one)</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bl>
    <w:p>
      <w:pPr>
        <w:pStyle w:val="Heading2"/>
        <w:keepNext/>
        <w:spacing w:after="100" w:before="260"/>
      </w:pPr>
      <w:r>
        <w:rPr>
          <w:rFonts w:ascii="Calibri" w:cs="Calibri" w:eastAsia="Calibri" w:hAnsi="Calibri"/>
        </w:rPr>
        <w:t xml:space="preserve">1. About me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40" w:before="0" w:line="264"/>
            </w:pPr>
            <w:r>
              <w:rPr>
                <w:rFonts w:ascii="Calibri" w:cs="Calibri" w:eastAsia="Calibri" w:hAnsi="Calibri"/>
                <w:color w:val="1F4E9E"/>
              </w:rPr>
              <w:t xml:space="preserve">I have lived in Beaudesert for 12 years. I am a retired nurse. My two grandchildren stay with us most weekends, and we drink rainwater collected from our roof. We moved here for the clean air and the rural character of the Scenic Rim.</w:t>
            </w:r>
          </w:p>
        </w:tc>
      </w:tr>
    </w:tbl>
    <w:p>
      <w:pPr>
        <w:pStyle w:val="Heading2"/>
        <w:keepNext/>
        <w:spacing w:after="100" w:before="260"/>
      </w:pPr>
      <w:r>
        <w:rPr>
          <w:rFonts w:ascii="Calibri" w:cs="Calibri" w:eastAsia="Calibri" w:hAnsi="Calibri"/>
        </w:rPr>
        <w:t xml:space="preserve">2. What I am asking for</w:t>
      </w:r>
    </w:p>
    <w:p>
      <w:pPr>
        <w:keepNext/>
        <w:spacing w:after="120" w:before="0" w:line="264"/>
      </w:pPr>
      <w:r>
        <w:rPr>
          <w:rFonts w:ascii="Calibri" w:cs="Calibri" w:eastAsia="Calibri" w:hAnsi="Calibri"/>
        </w:rPr>
        <w:t xml:space="preserve">I oppose this application. I ask the Coordinator-General to:</w:t>
      </w:r>
    </w:p>
    <w:p>
      <w:pPr>
        <w:spacing w:after="110" w:line="264"/>
        <w:ind w:left="540" w:hanging="400"/>
      </w:pPr>
      <w:r>
        <w:rPr>
          <w:rFonts w:ascii="Segoe UI Symbol" w:cs="Segoe UI Symbol" w:eastAsia="Segoe UI Symbol" w:hAnsi="Segoe UI Symbol"/>
        </w:rPr>
        <w:t xml:space="preserve">☒ </w:t>
      </w:r>
      <w:r>
        <w:rPr>
          <w:rFonts w:ascii="Calibri" w:cs="Calibri" w:eastAsia="Calibri" w:hAnsi="Calibri"/>
          <w:b/>
          <w:bCs/>
          <w:color w:val="1F4E9E"/>
        </w:rPr>
        <w:t xml:space="preserve">A.</w:t>
      </w:r>
      <w:r>
        <w:rPr>
          <w:rFonts w:ascii="Calibri" w:cs="Calibri" w:eastAsia="Calibri" w:hAnsi="Calibri"/>
          <w:color w:val="1F4E9E"/>
        </w:rPr>
        <w:t xml:space="preserve"> Refuse the application, because it is not consistent with the Bromelton SDA Development Scheme (Schedule 2, clause 2.5(5)(b), relying on s 2.1.1(4)).</w:t>
      </w:r>
    </w:p>
    <w:p>
      <w:pPr>
        <w:spacing w:after="110" w:line="264"/>
        <w:ind w:left="540" w:hanging="400"/>
      </w:pPr>
      <w:r>
        <w:rPr>
          <w:rFonts w:ascii="Segoe UI Symbol" w:cs="Segoe UI Symbol" w:eastAsia="Segoe UI Symbol" w:hAnsi="Segoe UI Symbol"/>
        </w:rPr>
        <w:t xml:space="preserve">☒ </w:t>
      </w:r>
      <w:r>
        <w:rPr>
          <w:rFonts w:ascii="Calibri" w:cs="Calibri" w:eastAsia="Calibri" w:hAnsi="Calibri"/>
          <w:b/>
          <w:bCs/>
          <w:color w:val="1F4E9E"/>
        </w:rPr>
        <w:t xml:space="preserve">B.</w:t>
      </w:r>
      <w:r>
        <w:rPr>
          <w:rFonts w:ascii="Calibri" w:cs="Calibri" w:eastAsia="Calibri" w:hAnsi="Calibri"/>
          <w:color w:val="1F4E9E"/>
        </w:rPr>
        <w:t xml:space="preserve"> If the application is not refused, declare BERC a coordinated project that requires a full Environmental Impact Statement (EIS) (State Development and Public Works Organisation Act 1971, ss 26 and 27AA(2)).</w:t>
      </w:r>
    </w:p>
    <w:p>
      <w:pPr>
        <w:spacing w:after="110" w:line="264"/>
        <w:ind w:left="540" w:hanging="400"/>
      </w:pPr>
      <w:r>
        <w:rPr>
          <w:rFonts w:ascii="Segoe UI Symbol" w:cs="Segoe UI Symbol" w:eastAsia="Segoe UI Symbol" w:hAnsi="Segoe UI Symbol"/>
        </w:rPr>
        <w:t xml:space="preserve">☒ </w:t>
      </w:r>
      <w:r>
        <w:rPr>
          <w:rFonts w:ascii="Calibri" w:cs="Calibri" w:eastAsia="Calibri" w:hAnsi="Calibri"/>
          <w:b/>
          <w:bCs/>
          <w:color w:val="1F4E9E"/>
        </w:rPr>
        <w:t xml:space="preserve">C.</w:t>
      </w:r>
      <w:r>
        <w:rPr>
          <w:rFonts w:ascii="Calibri" w:cs="Calibri" w:eastAsia="Calibri" w:hAnsi="Calibri"/>
          <w:color w:val="1F4E9E"/>
        </w:rPr>
        <w:t xml:space="preserve"> If no EIS is required, hold the assessment to an EIS-equivalent standard, and include at least 30 business days of public consultation after publication of the full EIS application.</w:t>
      </w:r>
    </w:p>
    <w:p>
      <w:pPr>
        <w:spacing w:after="110" w:line="264"/>
        <w:ind w:left="540" w:hanging="400"/>
      </w:pPr>
      <w:r>
        <w:rPr>
          <w:rFonts w:ascii="Segoe UI Symbol" w:cs="Segoe UI Symbol" w:eastAsia="Segoe UI Symbol" w:hAnsi="Segoe UI Symbol"/>
        </w:rPr>
        <w:t xml:space="preserve">☐ </w:t>
      </w:r>
      <w:r>
        <w:rPr>
          <w:rFonts w:ascii="Calibri" w:cs="Calibri" w:eastAsia="Calibri" w:hAnsi="Calibri"/>
          <w:b/>
          <w:bCs/>
          <w:color w:val="1F4E9E"/>
        </w:rPr>
        <w:t xml:space="preserve">Other:</w:t>
      </w:r>
      <w:r>
        <w:rPr>
          <w:rFonts w:ascii="Calibri" w:cs="Calibri" w:eastAsia="Calibri" w:hAnsi="Calibri"/>
          <w:color w:val="1F4E9E"/>
        </w:rPr>
        <w:t xml:space="preserve"> ______________________________</w:t>
      </w:r>
    </w:p>
    <w:p>
      <w:pPr>
        <w:pStyle w:val="Heading2"/>
        <w:keepNext/>
        <w:spacing w:after="100" w:before="260"/>
      </w:pPr>
      <w:r>
        <w:rPr>
          <w:rFonts w:ascii="Calibri" w:cs="Calibri" w:eastAsia="Calibri" w:hAnsi="Calibri"/>
        </w:rPr>
        <w:t xml:space="preserve">3. My concerns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5106"/>
        <w:gridCol w:w="2900"/>
      </w:tblGrid>
      <w:tr>
        <w:trPr>
          <w:cantSplit/>
          <w:tblHeader w:val="false"/>
        </w:trPr>
        <w:tc>
          <w:tcPr>
            <w:tcW w:type="dxa" w:w="1900"/>
            <w:tcBorders>
              <w:top w:val="single" w:color="BFBFBF" w:sz="4"/>
              <w:left w:val="single" w:color="BFBFBF" w:sz="4"/>
              <w:bottom w:val="single" w:color="BFBFBF" w:sz="4"/>
              <w:right w:val="single" w:color="BFBFBF" w:sz="4"/>
            </w:tcBorders>
            <w:shd w:fill="DCE6EA" w:color="auto" w:val="clear"/>
            <w:tcMar>
              <w:top w:type="dxa" w:w="70"/>
              <w:left w:type="dxa" w:w="110"/>
              <w:bottom w:type="dxa" w:w="70"/>
              <w:right w:type="dxa" w:w="110"/>
            </w:tcMar>
          </w:tcPr>
          <w:p>
            <w:pPr>
              <w:spacing w:after="60" w:before="0" w:line="264"/>
            </w:pPr>
            <w:r>
              <w:rPr>
                <w:rFonts w:ascii="Calibri" w:cs="Calibri" w:eastAsia="Calibri" w:hAnsi="Calibri"/>
                <w:b/>
                <w:bCs/>
              </w:rPr>
              <w:t xml:space="preserve">The issue</w:t>
            </w:r>
          </w:p>
        </w:tc>
        <w:tc>
          <w:tcPr>
            <w:tcW w:type="dxa" w:w="5106"/>
            <w:tcBorders>
              <w:top w:val="single" w:color="BFBFBF" w:sz="4"/>
              <w:left w:val="single" w:color="BFBFBF" w:sz="4"/>
              <w:bottom w:val="single" w:color="BFBFBF" w:sz="4"/>
              <w:right w:val="single" w:color="BFBFBF" w:sz="4"/>
            </w:tcBorders>
            <w:shd w:fill="DCE6EA" w:color="auto" w:val="clear"/>
            <w:tcMar>
              <w:top w:type="dxa" w:w="70"/>
              <w:left w:type="dxa" w:w="110"/>
              <w:bottom w:type="dxa" w:w="70"/>
              <w:right w:type="dxa" w:w="110"/>
            </w:tcMar>
          </w:tcPr>
          <w:p>
            <w:pPr>
              <w:spacing w:after="60" w:before="0" w:line="264"/>
            </w:pPr>
            <w:r>
              <w:rPr>
                <w:rFonts w:ascii="Calibri" w:cs="Calibri" w:eastAsia="Calibri" w:hAnsi="Calibri"/>
                <w:b/>
                <w:bCs/>
              </w:rPr>
              <w:t xml:space="preserve">What concerns me and why (include the facts)</w:t>
            </w:r>
          </w:p>
        </w:tc>
        <w:tc>
          <w:tcPr>
            <w:tcW w:type="dxa" w:w="2900"/>
            <w:tcBorders>
              <w:top w:val="single" w:color="BFBFBF" w:sz="4"/>
              <w:left w:val="single" w:color="BFBFBF" w:sz="4"/>
              <w:bottom w:val="single" w:color="BFBFBF" w:sz="4"/>
              <w:right w:val="single" w:color="BFBFBF" w:sz="4"/>
            </w:tcBorders>
            <w:shd w:fill="DCE6EA" w:color="auto" w:val="clear"/>
            <w:tcMar>
              <w:top w:type="dxa" w:w="70"/>
              <w:left w:type="dxa" w:w="110"/>
              <w:bottom w:type="dxa" w:w="70"/>
              <w:right w:type="dxa" w:w="110"/>
            </w:tcMar>
          </w:tcPr>
          <w:p>
            <w:pPr>
              <w:spacing w:after="60" w:before="0" w:line="264"/>
            </w:pPr>
            <w:r>
              <w:rPr>
                <w:rFonts w:ascii="Calibri" w:cs="Calibri" w:eastAsia="Calibri" w:hAnsi="Calibri"/>
                <w:b/>
                <w:bCs/>
              </w:rPr>
              <w:t xml:space="preserve">What I ask the Coordinator-General to do</w:t>
            </w:r>
          </w:p>
        </w:tc>
      </w:tr>
      <w:tr>
        <w:trPr>
          <w:cantSplit/>
          <w:tblHeader w:val="false"/>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Air pollution close to its limit</w:t>
            </w:r>
          </w:p>
        </w:tc>
        <w:tc>
          <w:tcPr>
            <w:tcW w:type="dxa" w:w="51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120" w:before="0" w:line="264"/>
            </w:pPr>
            <w:r>
              <w:rPr>
                <w:rFonts w:ascii="Calibri" w:cs="Calibri" w:eastAsia="Calibri" w:hAnsi="Calibri"/>
                <w:color w:val="1F4E9E"/>
              </w:rPr>
              <w:t xml:space="preserve">Cleanaway's own air study says that, with existing pollution included, annual fine-particle pollution (PM2.5) at homes and businesses reaches about 95% of the annual objective, with the highest off-site result 6.71 µg/m³ against the 7 µg/m³ objective (Appendix S, Air Quality Technical Report, s 7.1.2.1, p. 52, and Table 21, pp. 54–55).</w:t>
            </w:r>
          </w:p>
          <w:p>
            <w:pPr>
              <w:spacing w:after="40" w:before="0" w:line="264"/>
            </w:pPr>
            <w:r>
              <w:rPr>
                <w:rFonts w:ascii="Calibri" w:cs="Calibri" w:eastAsia="Calibri" w:hAnsi="Calibri"/>
                <w:color w:val="1F4E9E"/>
              </w:rPr>
              <w:t xml:space="preserve">My grandchildren play outside at our home. With the air already this close to the limit, I want to know there is room left before anything is approved.</w:t>
            </w:r>
          </w:p>
        </w:tc>
        <w:tc>
          <w:tcPr>
            <w:tcW w:type="dxa" w:w="29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Require the worst-case scenario the Coordinator-General's own reviewers asked for (both processing lines at their short-term limits at the same time) to be modelled and health-assessed before any decision.</w:t>
            </w:r>
          </w:p>
        </w:tc>
      </w:tr>
      <w:tr>
        <w:trPr>
          <w:cantSplit/>
          <w:tblHeader w:val="false"/>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Our rainwater tank</w:t>
            </w:r>
          </w:p>
        </w:tc>
        <w:tc>
          <w:tcPr>
            <w:tcW w:type="dxa" w:w="51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120" w:before="0" w:line="264"/>
            </w:pPr>
            <w:r>
              <w:rPr>
                <w:rFonts w:ascii="Calibri" w:cs="Calibri" w:eastAsia="Calibri" w:hAnsi="Calibri"/>
                <w:color w:val="1F4E9E"/>
              </w:rPr>
              <w:t xml:space="preserve">We drink rainwater from our roof. Cleanaway's health report assesses rainwater tanks and home-grown produce using “modelled dust deposition rates” (Appendix U, Human Health Risk Assessment, s 5.5.4, pp. 62, 81–83). But the air report's list of model settings names no wet or dry deposition setting, and I could find no published deposition results for the stack (Appendix S, s A2, p. 142).</w:t>
            </w:r>
          </w:p>
          <w:p>
            <w:pPr>
              <w:spacing w:after="40" w:before="0" w:line="264"/>
            </w:pPr>
            <w:r>
              <w:rPr>
                <w:rFonts w:ascii="Calibri" w:cs="Calibri" w:eastAsia="Calibri" w:hAnsi="Calibri"/>
                <w:color w:val="1F4E9E"/>
              </w:rPr>
              <w:t xml:space="preserve">I cannot check the numbers my family's water is being judged against.</w:t>
            </w:r>
          </w:p>
        </w:tc>
        <w:tc>
          <w:tcPr>
            <w:tcW w:type="dxa" w:w="29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Require Cleanaway to disclose how the deposition rates were worked out, and to confirm in writing whether wet deposition (rain washout) was modelled for the stack.</w:t>
            </w:r>
          </w:p>
        </w:tc>
      </w:tr>
      <w:tr>
        <w:trPr>
          <w:cantSplit/>
          <w:tblHeader w:val="false"/>
        </w:trPr>
        <w:tc>
          <w:tcPr>
            <w:tcW w:type="dxa" w:w="19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Drinking-water catchment</w:t>
            </w:r>
          </w:p>
        </w:tc>
        <w:tc>
          <w:tcPr>
            <w:tcW w:type="dxa" w:w="51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120" w:before="0" w:line="264"/>
            </w:pPr>
            <w:r>
              <w:rPr>
                <w:rFonts w:ascii="Calibri" w:cs="Calibri" w:eastAsia="Calibri" w:hAnsi="Calibri"/>
                <w:color w:val="1F4E9E"/>
              </w:rPr>
              <w:t xml:space="preserve">Seqwater, the drinking-water supplier, “considers that the development has presented insufficient information to confirm compliance” with five of its guideline outcomes (Seqwater referral response, p. 11 of 16).</w:t>
            </w:r>
          </w:p>
          <w:p>
            <w:pPr>
              <w:spacing w:after="40" w:before="0" w:line="264"/>
            </w:pPr>
            <w:r>
              <w:rPr>
                <w:rFonts w:ascii="Calibri" w:cs="Calibri" w:eastAsia="Calibri" w:hAnsi="Calibri"/>
                <w:color w:val="1F4E9E"/>
              </w:rPr>
              <w:t xml:space="preserve">The Logan River supplies drinking water, and the supplier itself cannot yet say the project is safe for it.</w:t>
            </w:r>
          </w:p>
        </w:tc>
        <w:tc>
          <w:tcPr>
            <w:tcW w:type="dxa" w:w="29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Require a detailed assessment of contaminants against the Logan Basin drinking-water objectives, including PFAS, before any decision.</w:t>
            </w:r>
          </w:p>
        </w:tc>
      </w:tr>
    </w:tbl>
    <w:p>
      <w:pPr>
        <w:pStyle w:val="Heading2"/>
        <w:keepNext/>
        <w:spacing w:after="100" w:before="260"/>
      </w:pPr>
      <w:r>
        <w:rPr>
          <w:rFonts w:ascii="Calibri" w:cs="Calibri" w:eastAsia="Calibri" w:hAnsi="Calibri"/>
        </w:rPr>
        <w:t xml:space="preserve">4. Declaration and signature</w:t>
      </w:r>
    </w:p>
    <w:p>
      <w:pPr>
        <w:spacing w:after="120" w:before="0" w:line="264"/>
      </w:pPr>
      <w:r>
        <w:rPr>
          <w:rFonts w:ascii="Calibri" w:cs="Calibri" w:eastAsia="Calibri" w:hAnsi="Calibri"/>
        </w:rPr>
        <w:t xml:space="preserve">I confirm the information about me in this submission is true and correct.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800"/>
        <w:gridCol w:w="3600"/>
        <w:gridCol w:w="1000"/>
        <w:gridCol w:w="3506"/>
      </w:tblGrid>
      <w:tr>
        <w:trPr>
          <w:cantSplit/>
          <w:tblHeader w:val="false"/>
        </w:trPr>
        <w:tc>
          <w:tcPr>
            <w:tcW w:type="dxa" w:w="18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Signature</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Jane Citizen</w:t>
            </w:r>
          </w:p>
        </w:tc>
        <w:tc>
          <w:tcPr>
            <w:tcW w:type="dxa" w:w="1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Date</w:t>
            </w:r>
          </w:p>
        </w:tc>
        <w:tc>
          <w:tcPr>
            <w:tcW w:type="dxa" w:w="35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40" w:before="0" w:line="264"/>
            </w:pPr>
            <w:r>
              <w:rPr>
                <w:rFonts w:ascii="Calibri" w:cs="Calibri" w:eastAsia="Calibri" w:hAnsi="Calibri"/>
                <w:color w:val="1F4E9E"/>
              </w:rPr>
              <w:t xml:space="preserve">20/10/2026</w:t>
            </w:r>
          </w:p>
        </w:tc>
      </w:tr>
    </w:tbl>
    <w:p>
      <w:pPr>
        <w:spacing w:after="120" w:before="100" w:line="264"/>
      </w:pPr>
      <w:r>
        <w:rPr>
          <w:rFonts w:ascii="Calibri" w:cs="Calibri" w:eastAsia="Calibri" w:hAnsi="Calibri"/>
        </w:rPr>
        <w:t xml:space="preserve">If you email your submission or use the online form, that counts as your signature. If you post it, sign it by hand.</w:t>
      </w:r>
    </w:p>
    <w:p>
      <w:pPr>
        <w:spacing w:after="120" w:before="0" w:line="264"/>
      </w:pPr>
      <w:r>
        <w:rPr>
          <w:rFonts w:ascii="Calibri" w:cs="Calibri" w:eastAsia="Calibri" w:hAnsi="Calibri"/>
          <w:i/>
          <w:iCs/>
          <w:color w:val="555555"/>
          <w:sz w:val="20"/>
          <w:szCs w:val="20"/>
        </w:rPr>
        <w:t xml:space="preserve">Jane is making her submission on her own, so she left the “with someone else” table out. If you are making one with others, use the one in the template.</w:t>
      </w:r>
    </w:p>
    <w:p>
      <w:pPr>
        <w:spacing w:after="60"/>
      </w:pPr>
    </w:p>
    <w:p>
      <w:pPr>
        <w:spacing w:after="120" w:before="0" w:line="264"/>
      </w:pPr>
      <w:r>
        <w:rPr>
          <w:rFonts w:ascii="Calibri" w:cs="Calibri" w:eastAsia="Calibri" w:hAnsi="Calibri"/>
          <w:i/>
          <w:iCs/>
          <w:color w:val="555555"/>
          <w:sz w:val="20"/>
          <w:szCs w:val="20"/>
        </w:rPr>
        <w:t xml:space="preserve">Notice how each row names the issue, gives the fact with the report and page, says how it affects Jane, and says what she wants done. The facts are from the Cheat Sheet. Jane chose three issues and did them well.</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Updated kit · version 17 Oct 2026 · Community volunteers · General help, not legal advice  ·  Page </w:t>
    </w:r>
    <w:r>
      <w:rPr>
        <w:rFonts w:ascii="Calibri" w:cs="Calibri" w:eastAsia="Calibri" w:hAnsi="Calibri"/>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Calibri" w:cs="Calibri" w:eastAsia="Calibri" w:hAnsi="Calibri"/>
      <w:b/>
      <w:bCs/>
      <w:color w:val="1F4E5F"/>
      <w:sz w:val="34"/>
      <w:szCs w:val="34"/>
    </w:rPr>
  </w:style>
  <w:style w:type="paragraph" w:styleId="Heading2">
    <w:name w:val="Heading 2"/>
    <w:basedOn w:val="Normal"/>
    <w:next w:val="Normal"/>
    <w:qFormat/>
    <w:pPr>
      <w:spacing w:after="100" w:before="260"/>
      <w:outlineLvl w:val="1"/>
    </w:pPr>
    <w:rPr>
      <w:rFonts w:ascii="Calibri" w:cs="Calibri" w:eastAsia="Calibri" w:hAnsi="Calibri"/>
      <w:b/>
      <w:bCs/>
      <w:color w:val="1F4E5F"/>
      <w:sz w:val="28"/>
      <w:szCs w:val="28"/>
    </w:rPr>
  </w:style>
  <w:style w:type="paragraph" w:styleId="Heading3">
    <w:name w:val="Heading 3"/>
    <w:basedOn w:val="Normal"/>
    <w:next w:val="Normal"/>
    <w:qFormat/>
    <w:pPr>
      <w:spacing w:after="60" w:before="160"/>
      <w:outlineLvl w:val="2"/>
    </w:pPr>
    <w:rPr>
      <w:rFonts w:ascii="Calibri" w:cs="Calibri" w:eastAsia="Calibri" w:hAnsi="Calibri"/>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BERC Example Completed Submission</dc:title>
  <dc:creator>Community volunteers</dc:creator>
  <cp:lastModifiedBy>Un-named</cp:lastModifiedBy>
  <cp:revision>1</cp:revision>
  <dcterms:created xsi:type="dcterms:W3CDTF">2026-10-17T09:23:41.210Z</dcterms:created>
  <dcterms:modified xsi:type="dcterms:W3CDTF">2026-10-17T09:23:41.210Z</dcterms:modified>
</cp:coreProperties>
</file>

<file path=docProps/custom.xml><?xml version="1.0" encoding="utf-8"?>
<Properties xmlns="http://schemas.openxmlformats.org/officeDocument/2006/custom-properties" xmlns:vt="http://schemas.openxmlformats.org/officeDocument/2006/docPropsVTypes"/>
</file>